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468"/>
        <w:jc w:val="left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80" w:before="360" w:lineRule="auto"/>
        <w:jc w:val="both"/>
        <w:rPr>
          <w:rFonts w:ascii="Calibri" w:cs="Calibri" w:eastAsia="Calibri" w:hAnsi="Calibri"/>
          <w:color w:val="fc2f0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c2f02"/>
          <w:sz w:val="24"/>
          <w:szCs w:val="24"/>
        </w:rPr>
        <w:drawing>
          <wp:inline distB="114300" distT="114300" distL="114300" distR="114300">
            <wp:extent cx="2385035" cy="83696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85035" cy="836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color w:val="fc2f02"/>
          <w:sz w:val="24"/>
          <w:szCs w:val="24"/>
          <w:rtl w:val="0"/>
        </w:rPr>
        <w:t xml:space="preserve">                            </w:t>
      </w:r>
      <w:r w:rsidDel="00000000" w:rsidR="00000000" w:rsidRPr="00000000">
        <w:rPr>
          <w:rFonts w:ascii="Calibri" w:cs="Calibri" w:eastAsia="Calibri" w:hAnsi="Calibri"/>
          <w:color w:val="fc2f02"/>
          <w:sz w:val="24"/>
          <w:szCs w:val="24"/>
        </w:rPr>
        <w:drawing>
          <wp:inline distB="114300" distT="114300" distL="114300" distR="114300">
            <wp:extent cx="2442803" cy="907327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42803" cy="9073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bCs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mallCaps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bCs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Rule="auto"/>
        <w:jc w:val="center"/>
        <w:rPr>
          <w:rFonts w:ascii="Calibri" w:cs="Calibri" w:eastAsia="Calibri" w:hAnsi="Calibri"/>
          <w:smallCaps w:val="1"/>
          <w:sz w:val="32"/>
          <w:szCs w:val="32"/>
          <w:u w:val="single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u w:val="single"/>
          <w:rtl w:val="0"/>
        </w:rPr>
        <w:t xml:space="preserve">Accord cadre à émission de bons de commande mono </w:t>
      </w:r>
      <w:r w:rsidDel="00000000" w:rsidR="00000000" w:rsidRPr="00000000">
        <w:rPr>
          <w:rFonts w:ascii="Calibri" w:cs="Calibri" w:eastAsia="Calibri" w:hAnsi="Calibri"/>
          <w:sz w:val="32"/>
          <w:szCs w:val="32"/>
          <w:u w:val="single"/>
          <w:rtl w:val="0"/>
        </w:rPr>
        <w:t xml:space="preserve">attributaire</w:t>
      </w:r>
      <w:r w:rsidDel="00000000" w:rsidR="00000000" w:rsidRPr="00000000">
        <w:rPr>
          <w:rFonts w:ascii="Calibri" w:cs="Calibri" w:eastAsia="Calibri" w:hAnsi="Calibri"/>
          <w:sz w:val="32"/>
          <w:szCs w:val="32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Calibri" w:cs="Calibri" w:eastAsia="Calibri" w:hAnsi="Calibri"/>
          <w:b w:val="1"/>
          <w:bCs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Calibri" w:cs="Calibri" w:eastAsia="Calibri" w:hAnsi="Calibri"/>
          <w:b w:val="1"/>
          <w:bCs w:val="1"/>
          <w:smallCaps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32"/>
          <w:szCs w:val="32"/>
          <w:rtl w:val="0"/>
        </w:rPr>
        <w:t xml:space="preserve">PRESTATIONS DE FORMATIONS PROFESSIONNELLES EN DISCIPLINE POSITIVE POUR L'EXÉCUTION DU PROGRAMME AMBITIONS MULHOUSE - VILLE ÉDUCATIVE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b w:val="1"/>
          <w:bCs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Calibri" w:cs="Calibri" w:eastAsia="Calibri" w:hAnsi="Calibri"/>
          <w:b w:val="1"/>
          <w:bCs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32"/>
          <w:szCs w:val="32"/>
          <w:rtl w:val="0"/>
        </w:rPr>
        <w:t xml:space="preserve">n° de marché : 2026-001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sz w:val="32"/>
          <w:szCs w:val="3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u w:val="single"/>
          <w:rtl w:val="0"/>
        </w:rPr>
        <w:t xml:space="preserve">CADRE DE MÉMOIRE TECHNIQUE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La réponse à ce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cadre de mémoire technique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est obligatoire et contractuelle.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L’analyse s’effectuera au regard des renseignements indiqués dans le présent document et ceux s’y référant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rtl w:val="0"/>
        </w:rPr>
        <w:t xml:space="preserve">Attention : le cadre de mémoire technique ne devra pas dépasser 15 pages hors annexes.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Calibri" w:cs="Calibri" w:eastAsia="Calibri" w:hAnsi="Calibri"/>
          <w:sz w:val="28"/>
          <w:szCs w:val="28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Critère n° 1 : prix des prestations - 40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widowControl w:val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L’analyse de ce critère s’effectuera sur la base du prix unitaire indiquée dans le Bordereau des Prix Unitaires (BPU) annexé à l’acte d’engagement ainsi que sur la base du montant total du Détail Quantitatif Estimatif (DQE) présenté par le soumissionnaire. Le montant total du DQE correspondra, en outre, à l’offre financière de l’entreprise. </w:t>
      </w:r>
    </w:p>
    <w:p w:rsidR="00000000" w:rsidDel="00000000" w:rsidP="00000000" w:rsidRDefault="00000000" w:rsidRPr="00000000" w14:paraId="0000001F">
      <w:pPr>
        <w:keepLines w:val="1"/>
        <w:widowControl w:val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widowControl w:val="0"/>
        <w:jc w:val="both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Fonts w:ascii="Calibri" w:cs="Calibri" w:eastAsia="Calibri" w:hAnsi="Calibri"/>
          <w:color w:val="ff0000"/>
          <w:u w:val="single"/>
          <w:rtl w:val="0"/>
        </w:rPr>
        <w:t xml:space="preserve">Remarque</w:t>
      </w:r>
      <w:r w:rsidDel="00000000" w:rsidR="00000000" w:rsidRPr="00000000">
        <w:rPr>
          <w:rFonts w:ascii="Calibri" w:cs="Calibri" w:eastAsia="Calibri" w:hAnsi="Calibri"/>
          <w:color w:val="ff0000"/>
          <w:rtl w:val="0"/>
        </w:rPr>
        <w:t xml:space="preserve"> : Les quantités mentionnées dans le DQE sont données à titre indicatif et n’engagent pas l’acheteur. Le DQE n'est pas contractuel, il sert uniquement à comparer les offres financières sur une base de quantité estimée de commandes donnée à titre indicatif.</w:t>
      </w:r>
    </w:p>
    <w:p w:rsidR="00000000" w:rsidDel="00000000" w:rsidP="00000000" w:rsidRDefault="00000000" w:rsidRPr="00000000" w14:paraId="00000021">
      <w:pPr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Calibri" w:cs="Calibri" w:eastAsia="Calibri" w:hAnsi="Calibri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vertAlign w:val="baseline"/>
          <w:rtl w:val="0"/>
        </w:rPr>
        <w:t xml:space="preserve">Critère n°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vertAlign w:val="baseline"/>
          <w:rtl w:val="0"/>
        </w:rPr>
        <w:t xml:space="preserve"> : la valeur technique –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60 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Calibri" w:cs="Calibri" w:eastAsia="Calibri" w:hAnsi="Calibri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Calibri" w:cs="Calibri" w:eastAsia="Calibri" w:hAnsi="Calibri"/>
          <w:b w:val="1"/>
          <w:bCs w:val="1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vertAlign w:val="baseline"/>
          <w:rtl w:val="0"/>
        </w:rPr>
        <w:t xml:space="preserve">Sous-critère n° 1 :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La description des moyens humains 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 xml:space="preserve">(environ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3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 xml:space="preserve"> pages maximum) –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15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 xml:space="preserve">points</w:t>
      </w:r>
    </w:p>
    <w:p w:rsidR="00000000" w:rsidDel="00000000" w:rsidP="00000000" w:rsidRDefault="00000000" w:rsidRPr="00000000" w14:paraId="00000026">
      <w:pPr>
        <w:ind w:left="284" w:firstLine="0"/>
        <w:jc w:val="both"/>
        <w:rPr>
          <w:rFonts w:ascii="Calibri" w:cs="Calibri" w:eastAsia="Calibri" w:hAnsi="Calibri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Le candidat présentera :</w:t>
      </w:r>
    </w:p>
    <w:p w:rsidR="00000000" w:rsidDel="00000000" w:rsidP="00000000" w:rsidRDefault="00000000" w:rsidRPr="00000000" w14:paraId="00000028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59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L’équipe affectée aux prestations y compris les CV,  qualifications/ formations du personnel et les coordonnées directes du référent dédié à l’exécution technique et administrative du marché.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59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années d’expérience en milieu scolaire des personnes intervenantes ainsi qu’un organigramme fonctionnel détaillé.</w:t>
      </w:r>
    </w:p>
    <w:p w:rsidR="00000000" w:rsidDel="00000000" w:rsidP="00000000" w:rsidRDefault="00000000" w:rsidRPr="00000000" w14:paraId="0000002B">
      <w:pPr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Sous critère n°2: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La description des moyens matériels utilisés pour l’exécution du marché public (environ 2 pages maximum)  - 5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points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 candidat présentera : </w:t>
      </w:r>
    </w:p>
    <w:p w:rsidR="00000000" w:rsidDel="00000000" w:rsidP="00000000" w:rsidRDefault="00000000" w:rsidRPr="00000000" w14:paraId="00000030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moyens de transports utilisés, le matériel pédagogique que l'entreprise compte mobiliser pour l'exécution des prestations objet du marché.</w:t>
      </w:r>
    </w:p>
    <w:p w:rsidR="00000000" w:rsidDel="00000000" w:rsidP="00000000" w:rsidRDefault="00000000" w:rsidRPr="00000000" w14:paraId="00000032">
      <w:pPr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Sous critère n°3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: La méthodologie mise en œuvre pour l’exécution des prestation (environs 10 pages maximum ) - 35 points</w:t>
      </w:r>
    </w:p>
    <w:p w:rsidR="00000000" w:rsidDel="00000000" w:rsidP="00000000" w:rsidRDefault="00000000" w:rsidRPr="00000000" w14:paraId="00000035">
      <w:pPr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 candidat présentera de manière détaillée : </w:t>
      </w:r>
    </w:p>
    <w:p w:rsidR="00000000" w:rsidDel="00000000" w:rsidP="00000000" w:rsidRDefault="00000000" w:rsidRPr="00000000" w14:paraId="00000038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méthodologie qu’il compte mettre en œuvre pour assurer un positionnement efficace du personnel à former (modalités de programmation du positionnement avec les établissements commanditaires, recueil de données,  moyens humains et matériels utilisés, les modalités pédagogiques, etc..)  pour chaque besoin du Programme Ambitions Mulhouse.</w:t>
      </w:r>
    </w:p>
    <w:p w:rsidR="00000000" w:rsidDel="00000000" w:rsidP="00000000" w:rsidRDefault="00000000" w:rsidRPr="00000000" w14:paraId="0000003A">
      <w:pPr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 candidat présentera de manière détaillée : </w:t>
      </w:r>
    </w:p>
    <w:p w:rsidR="00000000" w:rsidDel="00000000" w:rsidP="00000000" w:rsidRDefault="00000000" w:rsidRPr="00000000" w14:paraId="0000003E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modalités pédagogiques qu’il utilisera pour animer une  formation sur mesure partant des réalités professionnelles des participants et du bilan de positionnement. 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moyens humains et matériels que le prestataire compte utiliser pour mener à bien les actions de formation.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pédagogie adaptée au contexte professionnel de chacun des participants et les méthodes d’évaluation intermédiaires envisagées par module. 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modalités d’évaluation à chaud qu’il envisage de mettre en œuvre en fin de formation.</w:t>
      </w:r>
    </w:p>
    <w:p w:rsidR="00000000" w:rsidDel="00000000" w:rsidP="00000000" w:rsidRDefault="00000000" w:rsidRPr="00000000" w14:paraId="00000043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 candidat présentera de manière détaillée, la méthodologie qu’il compte mettre en œuvre pour assurer une évaluation finale efficace du personnel en précisant : </w:t>
      </w:r>
    </w:p>
    <w:p w:rsidR="00000000" w:rsidDel="00000000" w:rsidP="00000000" w:rsidRDefault="00000000" w:rsidRPr="00000000" w14:paraId="00000046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moyens humains et matériels utilisés,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grille d'évaluation et les outils qu’il compte mobiliser pour mener à bien cette évaluation en collaboration avec le laboratoire LISEC-UHA,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indicateurs de performance permettant d’évaluer l'acquisition des compétences, l’évolution des pratiques professionnelles notamment.</w:t>
      </w:r>
    </w:p>
    <w:p w:rsidR="00000000" w:rsidDel="00000000" w:rsidP="00000000" w:rsidRDefault="00000000" w:rsidRPr="00000000" w14:paraId="0000004A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 candidat devra également produire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en annexe du présent document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un calendrier prévisionnel d’exécution des prestations détaillant l’ensemble de la chaîne allant du positionnement à l'évaluation à froid  faisant apparaître les parties prenantes et ce, sur la base des délais indiqués dans le CCTP.</w:t>
      </w:r>
    </w:p>
    <w:p w:rsidR="00000000" w:rsidDel="00000000" w:rsidP="00000000" w:rsidRDefault="00000000" w:rsidRPr="00000000" w14:paraId="0000004C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Sous critère  n°4 : Les mesures mises en place pour alléger son impact carbone des flux numériques - 5 points</w:t>
      </w:r>
    </w:p>
    <w:p w:rsidR="00000000" w:rsidDel="00000000" w:rsidP="00000000" w:rsidRDefault="00000000" w:rsidRPr="00000000" w14:paraId="0000004E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 candidat présentera de manière détaillée les mesures mises en place pour alléger son impact carbone des flux numériques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lors de la communication avec l’acheteur public et des échanges de documents avec les parties prenantes incluant :</w:t>
      </w:r>
    </w:p>
    <w:p w:rsidR="00000000" w:rsidDel="00000000" w:rsidP="00000000" w:rsidRDefault="00000000" w:rsidRPr="00000000" w14:paraId="00000050">
      <w:pPr>
        <w:keepNext w:val="1"/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modalités de transmissions des documents proposées pour les prestations objet du présent marché (par exemples : espace de travail collaboratif, plateforme dédiée.) </w:t>
      </w:r>
    </w:p>
    <w:p w:rsidR="00000000" w:rsidDel="00000000" w:rsidP="00000000" w:rsidRDefault="00000000" w:rsidRPr="00000000" w14:paraId="00000051">
      <w:pPr>
        <w:keepNext w:val="1"/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Les mesures de limitation des déplacements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1134" w:left="1134" w:right="70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ptos" w:cs="Aptos" w:eastAsia="Aptos" w:hAnsi="Aptos"/>
        <w:sz w:val="22"/>
        <w:szCs w:val="22"/>
        <w:vertAlign w:val="baseline"/>
      </w:rPr>
    </w:pPr>
    <w:r w:rsidDel="00000000" w:rsidR="00000000" w:rsidRPr="00000000">
      <w:rPr>
        <w:rtl w:val="0"/>
      </w:rPr>
    </w:r>
  </w:p>
  <w:tbl>
    <w:tblPr>
      <w:tblStyle w:val="Table1"/>
      <w:tblW w:w="10278.999999999998" w:type="dxa"/>
      <w:jc w:val="left"/>
      <w:tblInd w:w="-108.0" w:type="dxa"/>
      <w:tblBorders>
        <w:top w:color="808080" w:space="0" w:sz="18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808080" w:space="0" w:sz="18" w:val="single"/>
      </w:tblBorders>
      <w:tblLayout w:type="fixed"/>
      <w:tblLook w:val="0000"/>
    </w:tblPr>
    <w:tblGrid>
      <w:gridCol w:w="1066"/>
      <w:gridCol w:w="9213"/>
      <w:tblGridChange w:id="0">
        <w:tblGrid>
          <w:gridCol w:w="1066"/>
          <w:gridCol w:w="9213"/>
        </w:tblGrid>
      </w:tblGridChange>
    </w:tblGrid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5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righ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6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